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A554" w14:textId="0DBFCFCF" w:rsidR="001C4376" w:rsidRPr="00686BA6" w:rsidRDefault="001C4376" w:rsidP="00686BA6">
      <w:pPr>
        <w:pStyle w:val="NormalWeb"/>
        <w:spacing w:after="0" w:afterAutospacing="0"/>
        <w:jc w:val="center"/>
        <w:rPr>
          <w:rFonts w:ascii="Garamond" w:hAnsi="Garamond" w:cs="Calibri"/>
          <w:b/>
          <w:bCs/>
        </w:rPr>
      </w:pPr>
      <w:r w:rsidRPr="00686BA6">
        <w:rPr>
          <w:rFonts w:ascii="Garamond" w:hAnsi="Garamond" w:cs="Calibri"/>
          <w:b/>
          <w:bCs/>
        </w:rPr>
        <w:t>BRONX COMMUNITY COLLEGE</w:t>
      </w:r>
      <w:r w:rsidR="00C85D2F" w:rsidRPr="00686BA6">
        <w:rPr>
          <w:rFonts w:ascii="Garamond" w:hAnsi="Garamond" w:cs="Calibri"/>
          <w:b/>
          <w:bCs/>
        </w:rPr>
        <w:br/>
      </w:r>
      <w:r w:rsidRPr="00686BA6">
        <w:rPr>
          <w:rFonts w:ascii="Garamond" w:hAnsi="Garamond" w:cs="Calibri"/>
          <w:b/>
          <w:bCs/>
        </w:rPr>
        <w:t>of the City University of New York.</w:t>
      </w:r>
      <w:r w:rsidRPr="00686BA6">
        <w:rPr>
          <w:rFonts w:ascii="Garamond" w:hAnsi="Garamond" w:cs="Calibri"/>
          <w:b/>
          <w:bCs/>
        </w:rPr>
        <w:br/>
        <w:t>DEPARTMENT OF MATHEMATICS AND COMPUTER SCIENCE</w:t>
      </w:r>
    </w:p>
    <w:p w14:paraId="5D48A17C" w14:textId="77777777" w:rsidR="00686BA6" w:rsidRPr="00686BA6" w:rsidRDefault="00334D08" w:rsidP="00686BA6">
      <w:pPr>
        <w:rPr>
          <w:rFonts w:ascii="Garamond" w:eastAsia="Times New Roman" w:hAnsi="Garamond" w:cs="Times New Roman"/>
        </w:rPr>
      </w:pPr>
      <w:r w:rsidRPr="00686BA6">
        <w:rPr>
          <w:rFonts w:ascii="Garamond" w:hAnsi="Garamond" w:cs="Calibri"/>
          <w:b/>
          <w:bCs/>
        </w:rPr>
        <w:t xml:space="preserve">SYLLABUS for </w:t>
      </w:r>
      <w:r w:rsidR="001C4376" w:rsidRPr="00686BA6">
        <w:rPr>
          <w:rFonts w:ascii="Garamond" w:hAnsi="Garamond" w:cs="Calibri"/>
          <w:b/>
          <w:bCs/>
        </w:rPr>
        <w:t>MTH 44: VECTOR ANALYSIS</w:t>
      </w:r>
      <w:r w:rsidR="001C4376" w:rsidRPr="00686BA6">
        <w:rPr>
          <w:rFonts w:ascii="Garamond" w:hAnsi="Garamond" w:cs="Calibri"/>
        </w:rPr>
        <w:t xml:space="preserve"> (4 credits / 4 hours).</w:t>
      </w:r>
      <w:r w:rsidR="001C4376" w:rsidRPr="00686BA6">
        <w:rPr>
          <w:rFonts w:ascii="Garamond" w:hAnsi="Garamond" w:cs="Calibri"/>
        </w:rPr>
        <w:br/>
      </w:r>
      <w:r w:rsidR="00C85D2F" w:rsidRPr="00686BA6">
        <w:rPr>
          <w:rFonts w:ascii="Garamond" w:hAnsi="Garamond" w:cs="Calibri"/>
        </w:rPr>
        <w:br/>
      </w:r>
      <w:r w:rsidR="001C4376" w:rsidRPr="00686BA6">
        <w:rPr>
          <w:rFonts w:ascii="Garamond" w:hAnsi="Garamond" w:cs="Calibri"/>
          <w:u w:val="single"/>
        </w:rPr>
        <w:t>Prerequisites</w:t>
      </w:r>
      <w:r w:rsidR="001C4376" w:rsidRPr="00686BA6">
        <w:rPr>
          <w:rFonts w:ascii="Garamond" w:hAnsi="Garamond" w:cs="Calibri"/>
        </w:rPr>
        <w:t xml:space="preserve">: </w:t>
      </w:r>
      <w:r w:rsidR="00C85D2F" w:rsidRPr="00686BA6">
        <w:rPr>
          <w:rFonts w:ascii="Garamond" w:eastAsia="Times New Roman" w:hAnsi="Garamond" w:cs="Times New Roman"/>
        </w:rPr>
        <w:t>MTH 33 or equivalent; and CUNY English Proficiency, or ENG 100 or 110, if required</w:t>
      </w:r>
      <w:r w:rsidR="00686BA6" w:rsidRPr="00686BA6">
        <w:rPr>
          <w:rFonts w:ascii="Garamond" w:eastAsia="Times New Roman" w:hAnsi="Garamond" w:cs="Times New Roman"/>
        </w:rPr>
        <w:br/>
      </w:r>
    </w:p>
    <w:p w14:paraId="7DD00758" w14:textId="77777777" w:rsidR="00686BA6" w:rsidRPr="00686BA6" w:rsidRDefault="001C4376" w:rsidP="00686BA6">
      <w:pPr>
        <w:rPr>
          <w:rFonts w:ascii="Garamond" w:hAnsi="Garamond" w:cs="Calibri"/>
        </w:rPr>
      </w:pPr>
      <w:r w:rsidRPr="00686BA6">
        <w:rPr>
          <w:rFonts w:ascii="Garamond" w:hAnsi="Garamond" w:cs="Calibri"/>
          <w:u w:val="single"/>
        </w:rPr>
        <w:t>Textbook</w:t>
      </w:r>
      <w:r w:rsidRPr="00686BA6">
        <w:rPr>
          <w:rFonts w:ascii="Garamond" w:hAnsi="Garamond" w:cs="Calibri"/>
        </w:rPr>
        <w:t xml:space="preserve">: Vector Calculus, by Jerrold Marsden </w:t>
      </w:r>
      <w:r w:rsidR="00334D08" w:rsidRPr="00686BA6">
        <w:rPr>
          <w:rFonts w:ascii="Garamond" w:hAnsi="Garamond" w:cs="Calibri"/>
        </w:rPr>
        <w:t>&amp;</w:t>
      </w:r>
      <w:r w:rsidRPr="00686BA6">
        <w:rPr>
          <w:rFonts w:ascii="Garamond" w:hAnsi="Garamond" w:cs="Calibri"/>
        </w:rPr>
        <w:t xml:space="preserve"> Anthony Tromba, W. H. Freeman, 6</w:t>
      </w:r>
      <w:proofErr w:type="spellStart"/>
      <w:r w:rsidRPr="00686BA6">
        <w:rPr>
          <w:rFonts w:ascii="Garamond" w:hAnsi="Garamond" w:cs="Calibri"/>
          <w:position w:val="8"/>
        </w:rPr>
        <w:t>th</w:t>
      </w:r>
      <w:proofErr w:type="spellEnd"/>
      <w:r w:rsidRPr="00686BA6">
        <w:rPr>
          <w:rFonts w:ascii="Garamond" w:hAnsi="Garamond" w:cs="Calibri"/>
          <w:position w:val="8"/>
        </w:rPr>
        <w:t xml:space="preserve"> </w:t>
      </w:r>
      <w:r w:rsidRPr="00686BA6">
        <w:rPr>
          <w:rFonts w:ascii="Garamond" w:hAnsi="Garamond" w:cs="Calibri"/>
        </w:rPr>
        <w:t>Ed. ISBN 9781429215084.</w:t>
      </w:r>
    </w:p>
    <w:p w14:paraId="6C79A144" w14:textId="77777777" w:rsidR="00686BA6" w:rsidRPr="00686BA6" w:rsidRDefault="00686BA6" w:rsidP="00686BA6">
      <w:pPr>
        <w:rPr>
          <w:rFonts w:ascii="Garamond" w:hAnsi="Garamond" w:cs="Calibri"/>
        </w:rPr>
      </w:pPr>
    </w:p>
    <w:p w14:paraId="54269B78" w14:textId="77777777" w:rsidR="00686BA6" w:rsidRPr="00686BA6" w:rsidRDefault="001C4376" w:rsidP="00686BA6">
      <w:pPr>
        <w:rPr>
          <w:rFonts w:ascii="Garamond" w:hAnsi="Garamond" w:cs="Calibri"/>
        </w:rPr>
      </w:pPr>
      <w:r w:rsidRPr="00686BA6">
        <w:rPr>
          <w:rFonts w:ascii="Garamond" w:hAnsi="Garamond" w:cs="Calibri"/>
          <w:u w:val="single"/>
        </w:rPr>
        <w:t>Course Description</w:t>
      </w:r>
      <w:r w:rsidRPr="00686BA6">
        <w:rPr>
          <w:rFonts w:ascii="Garamond" w:hAnsi="Garamond" w:cs="Calibri"/>
        </w:rPr>
        <w:t xml:space="preserve">: This is an undergraduate multivariable and vector analysis course. It is a one semester course designed to introduce integral over paths and surfaces, </w:t>
      </w:r>
      <w:proofErr w:type="gramStart"/>
      <w:r w:rsidRPr="00686BA6">
        <w:rPr>
          <w:rFonts w:ascii="Garamond" w:hAnsi="Garamond" w:cs="Calibri"/>
        </w:rPr>
        <w:t>Green’s</w:t>
      </w:r>
      <w:proofErr w:type="gramEnd"/>
      <w:r w:rsidRPr="00686BA6">
        <w:rPr>
          <w:rFonts w:ascii="Garamond" w:hAnsi="Garamond" w:cs="Calibri"/>
        </w:rPr>
        <w:t xml:space="preserve"> theorem, Stokes’ theorem, Gauss’ divergence theorem and di</w:t>
      </w:r>
      <w:r w:rsidR="00334D08" w:rsidRPr="00686BA6">
        <w:rPr>
          <w:rFonts w:ascii="Garamond" w:hAnsi="Garamond" w:cs="Cambria Math"/>
        </w:rPr>
        <w:t>ff</w:t>
      </w:r>
      <w:r w:rsidRPr="00686BA6">
        <w:rPr>
          <w:rFonts w:ascii="Garamond" w:hAnsi="Garamond" w:cs="Calibri"/>
        </w:rPr>
        <w:t xml:space="preserve">erential forms. The topics we will cover are mainly Chapters 6-8 of the text. Additional topics will be covered if time permits. </w:t>
      </w:r>
    </w:p>
    <w:p w14:paraId="40AD87FF" w14:textId="77777777" w:rsidR="00686BA6" w:rsidRPr="00686BA6" w:rsidRDefault="00686BA6" w:rsidP="00686BA6">
      <w:pPr>
        <w:rPr>
          <w:rFonts w:ascii="Garamond" w:hAnsi="Garamond" w:cs="Calibri"/>
        </w:rPr>
      </w:pPr>
    </w:p>
    <w:p w14:paraId="1551B652" w14:textId="77777777" w:rsidR="00686BA6" w:rsidRPr="00686BA6" w:rsidRDefault="001C4376" w:rsidP="00686BA6">
      <w:pPr>
        <w:rPr>
          <w:rFonts w:ascii="Garamond" w:hAnsi="Garamond" w:cs="Calibri"/>
        </w:rPr>
      </w:pPr>
      <w:r w:rsidRPr="00686BA6">
        <w:rPr>
          <w:rFonts w:ascii="Garamond" w:hAnsi="Garamond" w:cs="Calibri"/>
          <w:u w:val="single"/>
        </w:rPr>
        <w:t>Accommodations/Disabilities</w:t>
      </w:r>
      <w:r w:rsidRPr="00686BA6">
        <w:rPr>
          <w:rFonts w:ascii="Garamond" w:hAnsi="Garamond" w:cs="Calibri"/>
        </w:rPr>
        <w:t xml:space="preserve">: BCC respects and welcomes students of all backgrounds and abilities. In the event you encounter any barrier(s) to full participation in this course due to the impact of a disability, please contact </w:t>
      </w:r>
      <w:proofErr w:type="spellStart"/>
      <w:r w:rsidRPr="00686BA6">
        <w:rPr>
          <w:rFonts w:ascii="Garamond" w:hAnsi="Garamond" w:cs="Calibri"/>
        </w:rPr>
        <w:t>DisAbility</w:t>
      </w:r>
      <w:proofErr w:type="spellEnd"/>
      <w:r w:rsidRPr="00686BA6">
        <w:rPr>
          <w:rFonts w:ascii="Garamond" w:hAnsi="Garamond" w:cs="Calibri"/>
        </w:rPr>
        <w:t xml:space="preserve"> Services as soon as possible this semester. A Disability Services specialist will work with you to review the barriers you are experiencing and explain the eligibility process for establishing academic accommodations for this course. You can reach </w:t>
      </w:r>
      <w:proofErr w:type="spellStart"/>
      <w:r w:rsidRPr="00686BA6">
        <w:rPr>
          <w:rFonts w:ascii="Garamond" w:hAnsi="Garamond" w:cs="Calibri"/>
        </w:rPr>
        <w:t>DisAbility</w:t>
      </w:r>
      <w:proofErr w:type="spellEnd"/>
      <w:r w:rsidRPr="00686BA6">
        <w:rPr>
          <w:rFonts w:ascii="Garamond" w:hAnsi="Garamond" w:cs="Calibri"/>
        </w:rPr>
        <w:t xml:space="preserve"> Services by email at disabilityservices@bcc.cuny.edu or by phone at 718-289-5874. You may also reach </w:t>
      </w:r>
      <w:proofErr w:type="spellStart"/>
      <w:r w:rsidRPr="00686BA6">
        <w:rPr>
          <w:rFonts w:ascii="Garamond" w:hAnsi="Garamond" w:cs="Calibri"/>
        </w:rPr>
        <w:t>DisAbility</w:t>
      </w:r>
      <w:proofErr w:type="spellEnd"/>
      <w:r w:rsidRPr="00686BA6">
        <w:rPr>
          <w:rFonts w:ascii="Garamond" w:hAnsi="Garamond" w:cs="Calibri"/>
        </w:rPr>
        <w:t xml:space="preserve"> Services through Microsoft Teams. Download the Teams app, login using your </w:t>
      </w:r>
      <w:proofErr w:type="spellStart"/>
      <w:r w:rsidRPr="00686BA6">
        <w:rPr>
          <w:rFonts w:ascii="Garamond" w:hAnsi="Garamond" w:cs="Calibri"/>
        </w:rPr>
        <w:t>CUNYfirst</w:t>
      </w:r>
      <w:proofErr w:type="spellEnd"/>
      <w:r w:rsidRPr="00686BA6">
        <w:rPr>
          <w:rFonts w:ascii="Garamond" w:hAnsi="Garamond" w:cs="Calibri"/>
        </w:rPr>
        <w:t xml:space="preserve"> login, and join the DSO Student Service Center team using the following access code: neewu66. </w:t>
      </w:r>
    </w:p>
    <w:p w14:paraId="06EAC717" w14:textId="77777777" w:rsidR="00686BA6" w:rsidRPr="00686BA6" w:rsidRDefault="00686BA6" w:rsidP="00686BA6">
      <w:pPr>
        <w:rPr>
          <w:rFonts w:ascii="Garamond" w:hAnsi="Garamond" w:cs="Calibri"/>
        </w:rPr>
      </w:pPr>
    </w:p>
    <w:p w14:paraId="6DE6981A" w14:textId="77E46B95" w:rsidR="001C4376" w:rsidRPr="00686BA6" w:rsidRDefault="001C4376" w:rsidP="00686BA6">
      <w:pPr>
        <w:rPr>
          <w:rFonts w:ascii="Garamond" w:hAnsi="Garamond" w:cs="Calibri"/>
        </w:rPr>
      </w:pPr>
      <w:r w:rsidRPr="00686BA6">
        <w:rPr>
          <w:rFonts w:ascii="Garamond" w:hAnsi="Garamond" w:cs="Calibri"/>
          <w:u w:val="single"/>
        </w:rPr>
        <w:t>Academic Integrity</w:t>
      </w:r>
      <w:r w:rsidRPr="00686BA6">
        <w:rPr>
          <w:rFonts w:ascii="Garamond" w:hAnsi="Garamond" w:cs="Calibri"/>
        </w:rPr>
        <w:t>: Academic dishonesty (such as plagiarism and cheating) is prohibited at Bronx Community College and is punishable by penalties, including failing grades, dismissal</w:t>
      </w:r>
      <w:r w:rsidR="00334D08" w:rsidRPr="00686BA6">
        <w:rPr>
          <w:rFonts w:ascii="Garamond" w:hAnsi="Garamond" w:cs="Calibri"/>
        </w:rPr>
        <w:t>,</w:t>
      </w:r>
      <w:r w:rsidRPr="00686BA6">
        <w:rPr>
          <w:rFonts w:ascii="Garamond" w:hAnsi="Garamond" w:cs="Calibri"/>
        </w:rPr>
        <w:t xml:space="preserve"> and expulsion. For additional information and the full policy on Academic Integrity, please consult the BCC College Catalog. </w:t>
      </w:r>
    </w:p>
    <w:p w14:paraId="1100361B" w14:textId="77777777" w:rsidR="00686BA6" w:rsidRPr="00686BA6" w:rsidRDefault="00686BA6" w:rsidP="00686BA6">
      <w:pPr>
        <w:rPr>
          <w:rFonts w:ascii="Garamond" w:eastAsia="Times New Roman" w:hAnsi="Garamond" w:cs="Times New Roman"/>
        </w:rPr>
      </w:pPr>
    </w:p>
    <w:p w14:paraId="52497255" w14:textId="77777777" w:rsidR="00686BA6" w:rsidRPr="00686BA6" w:rsidRDefault="00686BA6" w:rsidP="00686BA6">
      <w:pPr>
        <w:shd w:val="clear" w:color="auto" w:fill="FFFFFF"/>
        <w:rPr>
          <w:rFonts w:ascii="Garamond" w:hAnsi="Garamond"/>
          <w:color w:val="212121"/>
          <w:u w:val="single"/>
        </w:rPr>
      </w:pPr>
      <w:r w:rsidRPr="00686BA6">
        <w:rPr>
          <w:rFonts w:ascii="Garamond" w:hAnsi="Garamond"/>
          <w:color w:val="000000"/>
          <w:u w:val="single"/>
        </w:rPr>
        <w:t>If you test positive for COVID while taking an in-person/hybrid course: </w:t>
      </w:r>
    </w:p>
    <w:p w14:paraId="66B4030A" w14:textId="77777777" w:rsidR="00686BA6" w:rsidRPr="00686BA6" w:rsidRDefault="00686BA6" w:rsidP="00686BA6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rFonts w:ascii="Garamond" w:hAnsi="Garamond"/>
          <w:noProof w:val="0"/>
          <w:color w:val="212121"/>
        </w:rPr>
      </w:pPr>
      <w:r w:rsidRPr="00686BA6">
        <w:rPr>
          <w:rFonts w:ascii="Garamond" w:hAnsi="Garamond"/>
          <w:noProof w:val="0"/>
          <w:color w:val="000000"/>
        </w:rPr>
        <w:t>Using your BCC email account, please email all your </w:t>
      </w:r>
      <w:r w:rsidRPr="00686BA6">
        <w:rPr>
          <w:rFonts w:ascii="Garamond" w:hAnsi="Garamond"/>
          <w:b/>
          <w:bCs/>
          <w:noProof w:val="0"/>
          <w:color w:val="000000"/>
        </w:rPr>
        <w:t>in-person and/or hybrid</w:t>
      </w:r>
      <w:r w:rsidRPr="00686BA6">
        <w:rPr>
          <w:rFonts w:ascii="Garamond" w:hAnsi="Garamond"/>
          <w:noProof w:val="0"/>
          <w:color w:val="000000"/>
        </w:rPr>
        <w:t> professors of your status. </w:t>
      </w:r>
    </w:p>
    <w:p w14:paraId="22E58082" w14:textId="77777777" w:rsidR="00686BA6" w:rsidRPr="00686BA6" w:rsidRDefault="00686BA6" w:rsidP="00686BA6">
      <w:pPr>
        <w:pStyle w:val="ListParagraph"/>
        <w:numPr>
          <w:ilvl w:val="1"/>
          <w:numId w:val="3"/>
        </w:numPr>
        <w:shd w:val="clear" w:color="auto" w:fill="FFFFFF"/>
        <w:suppressAutoHyphens w:val="0"/>
        <w:rPr>
          <w:rFonts w:ascii="Garamond" w:hAnsi="Garamond"/>
          <w:noProof w:val="0"/>
          <w:color w:val="212121"/>
        </w:rPr>
      </w:pPr>
      <w:r w:rsidRPr="00686BA6">
        <w:rPr>
          <w:rFonts w:ascii="Garamond" w:hAnsi="Garamond"/>
          <w:noProof w:val="0"/>
          <w:color w:val="000000"/>
        </w:rPr>
        <w:t xml:space="preserve">Please include your </w:t>
      </w:r>
      <w:proofErr w:type="spellStart"/>
      <w:r w:rsidRPr="00686BA6">
        <w:rPr>
          <w:rFonts w:ascii="Garamond" w:hAnsi="Garamond"/>
          <w:noProof w:val="0"/>
          <w:color w:val="000000"/>
        </w:rPr>
        <w:t>emplid</w:t>
      </w:r>
      <w:proofErr w:type="spellEnd"/>
      <w:r w:rsidRPr="00686BA6">
        <w:rPr>
          <w:rFonts w:ascii="Garamond" w:hAnsi="Garamond"/>
          <w:noProof w:val="0"/>
          <w:color w:val="000000"/>
        </w:rPr>
        <w:t xml:space="preserve"> # and current phone number in your email.</w:t>
      </w:r>
    </w:p>
    <w:p w14:paraId="597FC7F4" w14:textId="77777777" w:rsidR="00686BA6" w:rsidRPr="00686BA6" w:rsidRDefault="00686BA6" w:rsidP="00686BA6">
      <w:pPr>
        <w:pStyle w:val="ListParagraph"/>
        <w:numPr>
          <w:ilvl w:val="1"/>
          <w:numId w:val="3"/>
        </w:numPr>
        <w:shd w:val="clear" w:color="auto" w:fill="FFFFFF"/>
        <w:suppressAutoHyphens w:val="0"/>
        <w:rPr>
          <w:rFonts w:ascii="Garamond" w:hAnsi="Garamond"/>
          <w:noProof w:val="0"/>
          <w:color w:val="212121"/>
        </w:rPr>
      </w:pPr>
      <w:r w:rsidRPr="00686BA6">
        <w:rPr>
          <w:rFonts w:ascii="Garamond" w:hAnsi="Garamond"/>
          <w:noProof w:val="0"/>
          <w:color w:val="000000"/>
        </w:rPr>
        <w:t>Please also email us at </w:t>
      </w:r>
      <w:hyperlink r:id="rId5" w:tgtFrame="_blank" w:tooltip="mailto:healthservices@bcc.cuny.edu" w:history="1">
        <w:r w:rsidRPr="00686BA6">
          <w:rPr>
            <w:rFonts w:ascii="Garamond" w:hAnsi="Garamond"/>
            <w:noProof w:val="0"/>
            <w:color w:val="0563C1"/>
            <w:u w:val="single"/>
          </w:rPr>
          <w:t>healthservices@bcc.cuny.edu</w:t>
        </w:r>
      </w:hyperlink>
      <w:r w:rsidRPr="00686BA6">
        <w:rPr>
          <w:rFonts w:ascii="Garamond" w:hAnsi="Garamond"/>
          <w:noProof w:val="0"/>
          <w:color w:val="000000"/>
        </w:rPr>
        <w:t> .</w:t>
      </w:r>
    </w:p>
    <w:p w14:paraId="1626B57C" w14:textId="77777777" w:rsidR="00686BA6" w:rsidRPr="00686BA6" w:rsidRDefault="00686BA6" w:rsidP="00686BA6">
      <w:pPr>
        <w:pStyle w:val="ListParagraph"/>
        <w:numPr>
          <w:ilvl w:val="1"/>
          <w:numId w:val="3"/>
        </w:numPr>
        <w:shd w:val="clear" w:color="auto" w:fill="FFFFFF"/>
        <w:suppressAutoHyphens w:val="0"/>
        <w:rPr>
          <w:rFonts w:ascii="Garamond" w:hAnsi="Garamond"/>
          <w:noProof w:val="0"/>
          <w:color w:val="212121"/>
        </w:rPr>
      </w:pPr>
      <w:r w:rsidRPr="00686BA6">
        <w:rPr>
          <w:rFonts w:ascii="Garamond" w:hAnsi="Garamond"/>
          <w:noProof w:val="0"/>
          <w:color w:val="000000"/>
        </w:rPr>
        <w:t>Your professor will work with you to complete class work while you are in quarantine. </w:t>
      </w:r>
    </w:p>
    <w:p w14:paraId="660D015A" w14:textId="77777777" w:rsidR="00686BA6" w:rsidRPr="00686BA6" w:rsidRDefault="00686BA6" w:rsidP="00686BA6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rFonts w:ascii="Garamond" w:hAnsi="Garamond"/>
          <w:noProof w:val="0"/>
          <w:color w:val="212121"/>
        </w:rPr>
      </w:pPr>
      <w:r w:rsidRPr="00686BA6">
        <w:rPr>
          <w:rFonts w:ascii="Garamond" w:hAnsi="Garamond"/>
          <w:noProof w:val="0"/>
          <w:color w:val="000000"/>
        </w:rPr>
        <w:t>You will be called by a Health Services staffer.  It is critical that you connect in a timely matter with this staff member for contact tracing information.</w:t>
      </w:r>
    </w:p>
    <w:p w14:paraId="1BF9D973" w14:textId="77777777" w:rsidR="00686BA6" w:rsidRPr="00686BA6" w:rsidRDefault="00686BA6" w:rsidP="00686BA6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rFonts w:ascii="Garamond" w:hAnsi="Garamond"/>
          <w:noProof w:val="0"/>
          <w:color w:val="212121"/>
        </w:rPr>
      </w:pPr>
      <w:r w:rsidRPr="00686BA6">
        <w:rPr>
          <w:rFonts w:ascii="Garamond" w:hAnsi="Garamond"/>
          <w:noProof w:val="0"/>
          <w:color w:val="000000"/>
        </w:rPr>
        <w:t>You will need to submit a negative COVID test to Health Services (</w:t>
      </w:r>
      <w:hyperlink r:id="rId6" w:tgtFrame="_blank" w:tooltip="mailto:healthservices@bcc.cuny.edu" w:history="1">
        <w:r w:rsidRPr="00686BA6">
          <w:rPr>
            <w:rFonts w:ascii="Garamond" w:hAnsi="Garamond"/>
            <w:noProof w:val="0"/>
            <w:color w:val="0563C1"/>
            <w:u w:val="single"/>
          </w:rPr>
          <w:t>healthservices@bcc.cuny.edu</w:t>
        </w:r>
      </w:hyperlink>
      <w:r w:rsidRPr="00686BA6">
        <w:rPr>
          <w:rFonts w:ascii="Garamond" w:hAnsi="Garamond"/>
          <w:noProof w:val="0"/>
          <w:color w:val="000000"/>
        </w:rPr>
        <w:t>) before you are allowed access to the campus.</w:t>
      </w:r>
    </w:p>
    <w:p w14:paraId="48507947" w14:textId="2A3986FF" w:rsidR="00686BA6" w:rsidRPr="00686BA6" w:rsidRDefault="00686BA6" w:rsidP="00686BA6">
      <w:pPr>
        <w:pStyle w:val="ListParagraph"/>
        <w:numPr>
          <w:ilvl w:val="0"/>
          <w:numId w:val="3"/>
        </w:numPr>
        <w:shd w:val="clear" w:color="auto" w:fill="FFFFFF"/>
        <w:suppressAutoHyphens w:val="0"/>
        <w:rPr>
          <w:rFonts w:ascii="Garamond" w:hAnsi="Garamond"/>
          <w:noProof w:val="0"/>
          <w:color w:val="212121"/>
        </w:rPr>
      </w:pPr>
      <w:r w:rsidRPr="00686BA6">
        <w:rPr>
          <w:rFonts w:ascii="Garamond" w:hAnsi="Garamond"/>
          <w:color w:val="000000"/>
        </w:rPr>
        <w:t>Your negative test result must come from your doctor or a medical provider (e.g. CityMD, Urgent Care, etc.).  We will </w:t>
      </w:r>
      <w:r w:rsidRPr="00686BA6">
        <w:rPr>
          <w:rFonts w:ascii="Garamond" w:hAnsi="Garamond"/>
          <w:b/>
          <w:bCs/>
          <w:color w:val="000000"/>
          <w:u w:val="single"/>
        </w:rPr>
        <w:t>not</w:t>
      </w:r>
      <w:r w:rsidRPr="00686BA6">
        <w:rPr>
          <w:rFonts w:ascii="Garamond" w:hAnsi="Garamond"/>
          <w:color w:val="000000"/>
        </w:rPr>
        <w:t> accept a negative home test result.</w:t>
      </w:r>
    </w:p>
    <w:p w14:paraId="5ECF0631" w14:textId="7D6E931E" w:rsidR="001C4376" w:rsidRPr="00686BA6" w:rsidRDefault="001C4376" w:rsidP="00686BA6">
      <w:pPr>
        <w:pStyle w:val="NormalWeb"/>
        <w:spacing w:after="0" w:afterAutospacing="0"/>
        <w:rPr>
          <w:rFonts w:ascii="Garamond" w:hAnsi="Garamond" w:cs="Calibri"/>
        </w:rPr>
      </w:pPr>
      <w:r w:rsidRPr="00686BA6">
        <w:rPr>
          <w:rFonts w:ascii="Garamond" w:hAnsi="Garamond" w:cs="Calibri"/>
          <w:u w:val="single"/>
        </w:rPr>
        <w:t>Resources</w:t>
      </w:r>
      <w:r w:rsidRPr="00686BA6">
        <w:rPr>
          <w:rFonts w:ascii="Garamond" w:hAnsi="Garamond" w:cs="Calibri"/>
        </w:rPr>
        <w:t xml:space="preserve">: Math Tutorial Lab Tutoring Support: Please visit this URL address for information: </w:t>
      </w:r>
      <w:hyperlink r:id="rId7" w:history="1">
        <w:r w:rsidRPr="00686BA6">
          <w:rPr>
            <w:rStyle w:val="Hyperlink"/>
            <w:rFonts w:ascii="Garamond" w:hAnsi="Garamond" w:cs="Calibri"/>
          </w:rPr>
          <w:t>http://www.bcc.cuny.edu/academics/academic-departments/mathematics-and-computer-science-department/academic-advising-tutoring-support-services/</w:t>
        </w:r>
      </w:hyperlink>
      <w:r w:rsidRPr="00686BA6">
        <w:rPr>
          <w:rFonts w:ascii="Garamond" w:hAnsi="Garamond" w:cs="Calibri"/>
        </w:rPr>
        <w:t xml:space="preserve"> </w:t>
      </w:r>
    </w:p>
    <w:p w14:paraId="504A2793" w14:textId="77777777" w:rsidR="00686BA6" w:rsidRDefault="00686BA6" w:rsidP="00686BA6">
      <w:pPr>
        <w:pStyle w:val="NormalWeb"/>
        <w:spacing w:after="0" w:afterAutospacing="0"/>
        <w:rPr>
          <w:rFonts w:ascii="Garamond" w:hAnsi="Garamond" w:cs="Calibri"/>
          <w:u w:val="single"/>
        </w:rPr>
      </w:pPr>
    </w:p>
    <w:p w14:paraId="7BFC9D0E" w14:textId="78FE5685" w:rsidR="00686BA6" w:rsidRPr="00686BA6" w:rsidRDefault="001C4376" w:rsidP="00F02C2E">
      <w:pPr>
        <w:pStyle w:val="NormalWeb"/>
        <w:spacing w:after="0" w:afterAutospacing="0" w:line="360" w:lineRule="auto"/>
        <w:ind w:left="446"/>
        <w:rPr>
          <w:rFonts w:ascii="Garamond" w:hAnsi="Garamond" w:cs="Calibri"/>
        </w:rPr>
        <w:sectPr w:rsidR="00686BA6" w:rsidRPr="00686BA6" w:rsidSect="00686B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86BA6">
        <w:rPr>
          <w:rFonts w:ascii="Garamond" w:hAnsi="Garamond" w:cs="Calibri"/>
          <w:u w:val="single"/>
        </w:rPr>
        <w:t>SECTION</w:t>
      </w:r>
      <w:r w:rsidR="00334D08" w:rsidRPr="00686BA6">
        <w:rPr>
          <w:rFonts w:ascii="Garamond" w:hAnsi="Garamond" w:cs="Calibri"/>
          <w:u w:val="single"/>
        </w:rPr>
        <w:tab/>
      </w:r>
      <w:r w:rsidRPr="00686BA6">
        <w:rPr>
          <w:rFonts w:ascii="Garamond" w:hAnsi="Garamond" w:cs="Calibri"/>
          <w:u w:val="single"/>
        </w:rPr>
        <w:t xml:space="preserve">TOPIC </w:t>
      </w:r>
      <w:r w:rsidR="00686BA6" w:rsidRPr="00686BA6">
        <w:rPr>
          <w:rFonts w:ascii="Garamond" w:hAnsi="Garamond" w:cs="Calibri"/>
          <w:u w:val="single"/>
        </w:rPr>
        <w:tab/>
      </w:r>
      <w:r w:rsidR="00686BA6">
        <w:rPr>
          <w:rFonts w:ascii="Garamond" w:hAnsi="Garamond" w:cs="Calibri"/>
          <w:u w:val="single"/>
        </w:rPr>
        <w:t xml:space="preserve">       </w:t>
      </w:r>
      <w:r w:rsidR="00686BA6" w:rsidRPr="00686BA6">
        <w:rPr>
          <w:rFonts w:ascii="Garamond" w:hAnsi="Garamond" w:cs="Calibri"/>
          <w:u w:val="single"/>
        </w:rPr>
        <w:t xml:space="preserve"> </w:t>
      </w:r>
    </w:p>
    <w:p w14:paraId="173009A7" w14:textId="6E45B629" w:rsidR="00686BA6" w:rsidRP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r w:rsidRPr="00686BA6">
        <w:rPr>
          <w:rFonts w:ascii="Garamond" w:hAnsi="Garamond" w:cs="Calibri"/>
        </w:rPr>
        <w:t xml:space="preserve">5.2-5.3 </w:t>
      </w:r>
      <w:r w:rsidR="00C85D2F" w:rsidRPr="00686BA6">
        <w:rPr>
          <w:rFonts w:ascii="Garamond" w:hAnsi="Garamond" w:cs="Calibri"/>
        </w:rPr>
        <w:tab/>
      </w:r>
      <w:r w:rsid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>Double integrals over rectangles and</w:t>
      </w:r>
      <w:r w:rsidR="00686BA6" w:rsidRPr="00686BA6">
        <w:rPr>
          <w:rFonts w:ascii="Garamond" w:hAnsi="Garamond" w:cs="Calibri"/>
        </w:rPr>
        <w:t xml:space="preserve"> </w:t>
      </w:r>
      <w:r w:rsidRPr="00686BA6">
        <w:rPr>
          <w:rFonts w:ascii="Garamond" w:hAnsi="Garamond" w:cs="Calibri"/>
        </w:rPr>
        <w:t>general regions.</w:t>
      </w:r>
    </w:p>
    <w:p w14:paraId="6AC932BC" w14:textId="77777777" w:rsid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r w:rsidRPr="00686BA6">
        <w:rPr>
          <w:rFonts w:ascii="Garamond" w:hAnsi="Garamond" w:cs="Calibri"/>
        </w:rPr>
        <w:t xml:space="preserve">5.5 </w:t>
      </w:r>
      <w:r w:rsid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>Triple integrals</w:t>
      </w:r>
    </w:p>
    <w:p w14:paraId="104FFC7F" w14:textId="14E25E1F" w:rsid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r w:rsidRPr="00686BA6">
        <w:rPr>
          <w:rFonts w:ascii="Garamond" w:hAnsi="Garamond" w:cs="Calibri"/>
        </w:rPr>
        <w:t xml:space="preserve">6.1 </w:t>
      </w:r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>The geometry of maps.</w:t>
      </w:r>
    </w:p>
    <w:p w14:paraId="2C9F673B" w14:textId="77777777" w:rsid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  <w:u w:val="single"/>
        </w:rPr>
      </w:pPr>
      <w:r w:rsidRPr="00686BA6">
        <w:rPr>
          <w:rFonts w:ascii="Garamond" w:hAnsi="Garamond" w:cs="Calibri"/>
        </w:rPr>
        <w:t xml:space="preserve">6.2-6.3 </w:t>
      </w:r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>The change of variables theorem and</w:t>
      </w:r>
      <w:r w:rsidR="00686BA6">
        <w:rPr>
          <w:rFonts w:ascii="Garamond" w:hAnsi="Garamond" w:cs="Calibri"/>
        </w:rPr>
        <w:t xml:space="preserve"> </w:t>
      </w:r>
      <w:r w:rsidRPr="00686BA6">
        <w:rPr>
          <w:rFonts w:ascii="Garamond" w:hAnsi="Garamond" w:cs="Calibri"/>
        </w:rPr>
        <w:t>applications.</w:t>
      </w:r>
    </w:p>
    <w:p w14:paraId="328DC1A1" w14:textId="5AD15B10" w:rsidR="00686BA6" w:rsidRP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  <w:u w:val="single"/>
        </w:rPr>
      </w:pPr>
      <w:proofErr w:type="gramStart"/>
      <w:r w:rsidRPr="00686BA6">
        <w:rPr>
          <w:rFonts w:ascii="Garamond" w:hAnsi="Garamond" w:cs="Calibri"/>
        </w:rPr>
        <w:t>7.1  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The path integral. </w:t>
      </w:r>
    </w:p>
    <w:p w14:paraId="325B3DD6" w14:textId="77777777" w:rsid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proofErr w:type="gramStart"/>
      <w:r w:rsidRPr="00686BA6">
        <w:rPr>
          <w:rFonts w:ascii="Garamond" w:hAnsi="Garamond" w:cs="Calibri"/>
        </w:rPr>
        <w:t>7.2  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Line integrals. </w:t>
      </w:r>
    </w:p>
    <w:p w14:paraId="4B62F260" w14:textId="77777777" w:rsid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proofErr w:type="gramStart"/>
      <w:r w:rsidRPr="00686BA6">
        <w:rPr>
          <w:rFonts w:ascii="Garamond" w:hAnsi="Garamond" w:cs="Calibri"/>
        </w:rPr>
        <w:t>7.3  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Parametrized surfaces. </w:t>
      </w:r>
    </w:p>
    <w:p w14:paraId="0899B19D" w14:textId="77777777" w:rsid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proofErr w:type="gramStart"/>
      <w:r w:rsidRPr="00686BA6">
        <w:rPr>
          <w:rFonts w:ascii="Garamond" w:hAnsi="Garamond" w:cs="Calibri"/>
        </w:rPr>
        <w:t>7.4  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Area of a surface. </w:t>
      </w:r>
    </w:p>
    <w:p w14:paraId="692EF8E8" w14:textId="77777777" w:rsid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proofErr w:type="gramStart"/>
      <w:r w:rsidRPr="00686BA6">
        <w:rPr>
          <w:rFonts w:ascii="Garamond" w:hAnsi="Garamond" w:cs="Calibri"/>
        </w:rPr>
        <w:t>7.5  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Integrals of scalar functions over surfaces. </w:t>
      </w:r>
    </w:p>
    <w:p w14:paraId="580B351E" w14:textId="77777777" w:rsid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proofErr w:type="gramStart"/>
      <w:r w:rsidRPr="00686BA6">
        <w:rPr>
          <w:rFonts w:ascii="Garamond" w:hAnsi="Garamond" w:cs="Calibri"/>
        </w:rPr>
        <w:t>7.6  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Surface integrals of vector fields. </w:t>
      </w:r>
    </w:p>
    <w:p w14:paraId="412BD018" w14:textId="5B654B6B" w:rsidR="001C4376" w:rsidRP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proofErr w:type="gramStart"/>
      <w:r w:rsidRPr="00686BA6">
        <w:rPr>
          <w:rFonts w:ascii="Garamond" w:hAnsi="Garamond" w:cs="Calibri"/>
        </w:rPr>
        <w:t>7.7  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>Applications to di</w:t>
      </w:r>
      <w:r w:rsidR="00334D08" w:rsidRPr="00686BA6">
        <w:rPr>
          <w:rFonts w:ascii="Garamond" w:hAnsi="Garamond" w:cs="Cambria Math"/>
        </w:rPr>
        <w:t>ff</w:t>
      </w:r>
      <w:r w:rsidRPr="00686BA6">
        <w:rPr>
          <w:rFonts w:ascii="Garamond" w:hAnsi="Garamond" w:cs="Calibri"/>
        </w:rPr>
        <w:t>erential geometry.</w:t>
      </w:r>
    </w:p>
    <w:p w14:paraId="619058DF" w14:textId="1C38AED7" w:rsidR="001C4376" w:rsidRPr="00686BA6" w:rsidRDefault="001C4376" w:rsidP="00F02C2E">
      <w:pPr>
        <w:pStyle w:val="NormalWeb"/>
        <w:snapToGrid w:val="0"/>
        <w:spacing w:before="0" w:beforeAutospacing="0" w:after="0" w:afterAutospacing="0" w:line="360" w:lineRule="auto"/>
        <w:ind w:left="446"/>
        <w:rPr>
          <w:rFonts w:ascii="Garamond" w:hAnsi="Garamond" w:cs="Calibri"/>
        </w:rPr>
      </w:pPr>
      <w:proofErr w:type="gramStart"/>
      <w:r w:rsidRPr="00686BA6">
        <w:rPr>
          <w:rFonts w:ascii="Garamond" w:hAnsi="Garamond" w:cs="Calibri"/>
        </w:rPr>
        <w:t>8.1  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Green’s theorem. </w:t>
      </w:r>
      <w:r w:rsidR="00334D08" w:rsidRPr="00686BA6">
        <w:rPr>
          <w:rFonts w:ascii="Garamond" w:hAnsi="Garamond" w:cs="Calibri"/>
        </w:rPr>
        <w:br/>
      </w:r>
      <w:proofErr w:type="gramStart"/>
      <w:r w:rsidRPr="00686BA6">
        <w:rPr>
          <w:rFonts w:ascii="Garamond" w:hAnsi="Garamond" w:cs="Calibri"/>
        </w:rPr>
        <w:t>8.2  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Stokes’ theorem </w:t>
      </w:r>
      <w:r w:rsidR="00334D08" w:rsidRPr="00686BA6">
        <w:rPr>
          <w:rFonts w:ascii="Garamond" w:hAnsi="Garamond" w:cs="Calibri"/>
        </w:rPr>
        <w:br/>
      </w:r>
      <w:r w:rsidRPr="00686BA6">
        <w:rPr>
          <w:rFonts w:ascii="Garamond" w:hAnsi="Garamond" w:cs="Calibri"/>
        </w:rPr>
        <w:t>8.3  </w:t>
      </w:r>
      <w:r w:rsidR="00334D08" w:rsidRPr="00686BA6">
        <w:rPr>
          <w:rFonts w:ascii="Garamond" w:hAnsi="Garamond" w:cs="Calibri"/>
        </w:rPr>
        <w:tab/>
      </w:r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Conservative fields. </w:t>
      </w:r>
      <w:r w:rsidR="00334D08" w:rsidRPr="00686BA6">
        <w:rPr>
          <w:rFonts w:ascii="Garamond" w:hAnsi="Garamond" w:cs="Calibri"/>
        </w:rPr>
        <w:br/>
      </w:r>
      <w:proofErr w:type="gramStart"/>
      <w:r w:rsidRPr="00686BA6">
        <w:rPr>
          <w:rFonts w:ascii="Garamond" w:hAnsi="Garamond" w:cs="Calibri"/>
        </w:rPr>
        <w:t>8.4  </w:t>
      </w:r>
      <w:r w:rsidR="00334D08" w:rsidRPr="00686BA6">
        <w:rPr>
          <w:rFonts w:ascii="Garamond" w:hAnsi="Garamond" w:cs="Calibri"/>
        </w:rPr>
        <w:tab/>
      </w:r>
      <w:proofErr w:type="gramEnd"/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 xml:space="preserve">Gauss’ divergence theorem </w:t>
      </w:r>
      <w:r w:rsidR="00334D08" w:rsidRPr="00686BA6">
        <w:rPr>
          <w:rFonts w:ascii="Garamond" w:hAnsi="Garamond" w:cs="Calibri"/>
        </w:rPr>
        <w:br/>
      </w:r>
      <w:r w:rsidRPr="00686BA6">
        <w:rPr>
          <w:rFonts w:ascii="Garamond" w:hAnsi="Garamond" w:cs="Calibri"/>
        </w:rPr>
        <w:t>8.5  </w:t>
      </w:r>
      <w:r w:rsidR="00334D08" w:rsidRPr="00686BA6">
        <w:rPr>
          <w:rFonts w:ascii="Garamond" w:hAnsi="Garamond" w:cs="Calibri"/>
        </w:rPr>
        <w:tab/>
      </w:r>
      <w:r w:rsidR="00334D08" w:rsidRPr="00686BA6">
        <w:rPr>
          <w:rFonts w:ascii="Garamond" w:hAnsi="Garamond" w:cs="Calibri"/>
        </w:rPr>
        <w:tab/>
      </w:r>
      <w:r w:rsidRPr="00686BA6">
        <w:rPr>
          <w:rFonts w:ascii="Garamond" w:hAnsi="Garamond" w:cs="Calibri"/>
        </w:rPr>
        <w:t>Di</w:t>
      </w:r>
      <w:r w:rsidR="00334D08" w:rsidRPr="00686BA6">
        <w:rPr>
          <w:rFonts w:ascii="Garamond" w:hAnsi="Garamond" w:cs="Cambria Math"/>
        </w:rPr>
        <w:t>ff</w:t>
      </w:r>
      <w:r w:rsidRPr="00686BA6">
        <w:rPr>
          <w:rFonts w:ascii="Garamond" w:hAnsi="Garamond" w:cs="Calibri"/>
        </w:rPr>
        <w:t>erential forms.</w:t>
      </w:r>
    </w:p>
    <w:p w14:paraId="252219AC" w14:textId="77777777" w:rsidR="00686BA6" w:rsidRPr="00686BA6" w:rsidRDefault="00686BA6" w:rsidP="00686BA6">
      <w:pPr>
        <w:pStyle w:val="NormalWeb"/>
        <w:snapToGrid w:val="0"/>
        <w:spacing w:before="0" w:beforeAutospacing="0" w:after="0" w:afterAutospacing="0"/>
        <w:ind w:left="450"/>
        <w:rPr>
          <w:rFonts w:ascii="Garamond" w:hAnsi="Garamond" w:cs="Calibri"/>
        </w:rPr>
        <w:sectPr w:rsidR="00686BA6" w:rsidRPr="00686BA6" w:rsidSect="00686BA6">
          <w:type w:val="continuous"/>
          <w:pgSz w:w="12240" w:h="15840"/>
          <w:pgMar w:top="1152" w:right="1008" w:bottom="1152" w:left="1458" w:header="720" w:footer="720" w:gutter="0"/>
          <w:cols w:space="720"/>
          <w:docGrid w:linePitch="360"/>
        </w:sectPr>
      </w:pPr>
    </w:p>
    <w:p w14:paraId="18B0A3C4" w14:textId="77777777" w:rsidR="00686BA6" w:rsidRPr="00686BA6" w:rsidRDefault="00686BA6" w:rsidP="00686BA6">
      <w:pPr>
        <w:pStyle w:val="NormalWeb"/>
        <w:snapToGrid w:val="0"/>
        <w:spacing w:before="0" w:beforeAutospacing="0" w:after="0" w:afterAutospacing="0"/>
        <w:ind w:left="450"/>
        <w:rPr>
          <w:rFonts w:ascii="Garamond" w:hAnsi="Garamond" w:cs="Calibri"/>
        </w:rPr>
      </w:pPr>
    </w:p>
    <w:p w14:paraId="1F0016F2" w14:textId="249303D8" w:rsidR="00686BA6" w:rsidRDefault="00686BA6" w:rsidP="00686BA6">
      <w:pPr>
        <w:pStyle w:val="NormalWeb"/>
        <w:spacing w:after="0" w:afterAutospacing="0"/>
        <w:rPr>
          <w:rFonts w:ascii="Garamond" w:hAnsi="Garamond" w:cs="Calibri"/>
        </w:rPr>
      </w:pPr>
    </w:p>
    <w:p w14:paraId="37074352" w14:textId="2CAE7011" w:rsidR="00F02C2E" w:rsidRDefault="00F02C2E" w:rsidP="00686BA6">
      <w:pPr>
        <w:pStyle w:val="NormalWeb"/>
        <w:spacing w:after="0" w:afterAutospacing="0"/>
        <w:rPr>
          <w:rFonts w:ascii="Garamond" w:hAnsi="Garamond" w:cs="Calibri"/>
        </w:rPr>
      </w:pPr>
    </w:p>
    <w:p w14:paraId="3B0DF665" w14:textId="03B6FC32" w:rsidR="00F02C2E" w:rsidRDefault="00F02C2E" w:rsidP="00686BA6">
      <w:pPr>
        <w:pStyle w:val="NormalWeb"/>
        <w:spacing w:after="0" w:afterAutospacing="0"/>
        <w:rPr>
          <w:rFonts w:ascii="Garamond" w:hAnsi="Garamond" w:cs="Calibri"/>
        </w:rPr>
      </w:pPr>
    </w:p>
    <w:p w14:paraId="1DF5AD75" w14:textId="77777777" w:rsidR="00F02C2E" w:rsidRDefault="00F02C2E" w:rsidP="00686BA6">
      <w:pPr>
        <w:pStyle w:val="NormalWeb"/>
        <w:spacing w:after="0" w:afterAutospacing="0"/>
        <w:rPr>
          <w:rFonts w:ascii="Garamond" w:hAnsi="Garamond" w:cs="Calibri"/>
        </w:rPr>
      </w:pPr>
    </w:p>
    <w:p w14:paraId="530E3C27" w14:textId="77777777" w:rsidR="00F02C2E" w:rsidRPr="00686BA6" w:rsidRDefault="00F02C2E" w:rsidP="00686BA6">
      <w:pPr>
        <w:pStyle w:val="NormalWeb"/>
        <w:spacing w:after="0" w:afterAutospacing="0"/>
        <w:rPr>
          <w:rFonts w:ascii="Garamond" w:hAnsi="Garamond" w:cs="Calibri"/>
        </w:rPr>
      </w:pPr>
    </w:p>
    <w:p w14:paraId="370CDE40" w14:textId="77777777" w:rsidR="00F02C2E" w:rsidRDefault="00F02C2E" w:rsidP="00F02C2E">
      <w:pPr>
        <w:pStyle w:val="NormalWeb"/>
        <w:spacing w:after="0" w:afterAutospacing="0"/>
        <w:ind w:firstLine="720"/>
        <w:rPr>
          <w:rFonts w:ascii="Garamond" w:hAnsi="Garamond" w:cs="Calibri"/>
        </w:rPr>
      </w:pPr>
    </w:p>
    <w:p w14:paraId="36233360" w14:textId="4AF60E4E" w:rsidR="00192128" w:rsidRDefault="001C4376" w:rsidP="00F02C2E">
      <w:pPr>
        <w:pStyle w:val="NormalWeb"/>
        <w:spacing w:after="0" w:afterAutospacing="0"/>
        <w:ind w:firstLine="720"/>
        <w:rPr>
          <w:rFonts w:ascii="Garamond" w:hAnsi="Garamond" w:cs="Calibri"/>
        </w:rPr>
      </w:pPr>
      <w:r w:rsidRPr="00686BA6">
        <w:rPr>
          <w:rFonts w:ascii="Garamond" w:hAnsi="Garamond" w:cs="Calibri"/>
        </w:rPr>
        <w:t xml:space="preserve">ML 3/21. </w:t>
      </w:r>
      <w:r w:rsidR="00334D08" w:rsidRPr="00686BA6">
        <w:rPr>
          <w:rFonts w:ascii="Garamond" w:hAnsi="Garamond" w:cs="Calibri"/>
        </w:rPr>
        <w:tab/>
        <w:t xml:space="preserve">Updated 8/22 EA for </w:t>
      </w:r>
      <w:proofErr w:type="spellStart"/>
      <w:r w:rsidR="00334D08" w:rsidRPr="00686BA6">
        <w:rPr>
          <w:rFonts w:ascii="Garamond" w:hAnsi="Garamond" w:cs="Calibri"/>
        </w:rPr>
        <w:t>prereq</w:t>
      </w:r>
      <w:proofErr w:type="spellEnd"/>
      <w:r w:rsidR="00F02C2E">
        <w:rPr>
          <w:rFonts w:ascii="Garamond" w:hAnsi="Garamond" w:cs="Calibri"/>
        </w:rPr>
        <w:br/>
      </w:r>
      <w:r w:rsidR="00F02C2E">
        <w:rPr>
          <w:rFonts w:ascii="Garamond" w:hAnsi="Garamond" w:cs="Calibri"/>
        </w:rPr>
        <w:tab/>
      </w:r>
      <w:r w:rsidR="00F02C2E">
        <w:rPr>
          <w:rFonts w:ascii="Garamond" w:hAnsi="Garamond" w:cs="Calibri"/>
        </w:rPr>
        <w:tab/>
      </w:r>
      <w:r w:rsidR="00F02C2E">
        <w:rPr>
          <w:rFonts w:ascii="Garamond" w:hAnsi="Garamond" w:cs="Calibri"/>
        </w:rPr>
        <w:tab/>
        <w:t>Updated 1/23 EA for COVID</w:t>
      </w:r>
    </w:p>
    <w:p w14:paraId="5B260713" w14:textId="229FC491" w:rsidR="00F02C2E" w:rsidRPr="00686BA6" w:rsidRDefault="00F02C2E" w:rsidP="00F02C2E">
      <w:pPr>
        <w:pStyle w:val="NormalWeb"/>
        <w:spacing w:after="0" w:afterAutospacing="0"/>
        <w:ind w:firstLine="720"/>
        <w:rPr>
          <w:rFonts w:ascii="Garamond" w:hAnsi="Garamond" w:cs="Calibri"/>
        </w:rPr>
      </w:pPr>
    </w:p>
    <w:sectPr w:rsidR="00F02C2E" w:rsidRPr="00686BA6" w:rsidSect="00686BA6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63C"/>
    <w:multiLevelType w:val="multilevel"/>
    <w:tmpl w:val="FF06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06B47"/>
    <w:multiLevelType w:val="multilevel"/>
    <w:tmpl w:val="852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7262944">
    <w:abstractNumId w:val="0"/>
  </w:num>
  <w:num w:numId="2" w16cid:durableId="786237652">
    <w:abstractNumId w:val="1"/>
  </w:num>
  <w:num w:numId="3" w16cid:durableId="1854756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76"/>
    <w:rsid w:val="001C4376"/>
    <w:rsid w:val="00334D08"/>
    <w:rsid w:val="00686BA6"/>
    <w:rsid w:val="00853F32"/>
    <w:rsid w:val="009224DC"/>
    <w:rsid w:val="00B752F9"/>
    <w:rsid w:val="00C85D2F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CE353"/>
  <w15:chartTrackingRefBased/>
  <w15:docId w15:val="{C13A54F9-063F-6F4D-9402-D875F3A8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3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85D2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5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686BA6"/>
    <w:pPr>
      <w:suppressAutoHyphens/>
      <w:ind w:left="720"/>
      <w:contextualSpacing/>
    </w:pPr>
    <w:rPr>
      <w:rFonts w:ascii="Times New Roman" w:eastAsia="Times New Roman" w:hAnsi="Times New Roman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c.cuny.edu/academics/academic-departments/mathematics-and-computer-science-department/academic-advising-tutoring-support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services@bcc.cuny.edu" TargetMode="External"/><Relationship Id="rId5" Type="http://schemas.openxmlformats.org/officeDocument/2006/relationships/hyperlink" Target="mailto:healthservices@bcc.cun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dc:description/>
  <cp:lastModifiedBy>Evangelia Antonakos</cp:lastModifiedBy>
  <cp:revision>3</cp:revision>
  <dcterms:created xsi:type="dcterms:W3CDTF">2022-08-16T17:44:00Z</dcterms:created>
  <dcterms:modified xsi:type="dcterms:W3CDTF">2023-01-15T20:49:00Z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2022-08-16T17:44:18Z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0b8b3797-c05d-42b6-9020-6fe681e176e8</vt:lpwstr>
  </property>
  <property fmtid="{D5CDD505-2E9C-101B-9397-08002B2CF9AE}" pid="8" name="MSIP_Label_fa1855b2-0a05-4494-a903-f3f23f3f98e0_ContentBits">
    <vt:lpwstr>0</vt:lpwstr>
  </property>
</Properties>
</file>