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8EF" w14:textId="77777777" w:rsidR="00791D88" w:rsidRDefault="00C751FB">
      <w:pPr>
        <w:jc w:val="center"/>
        <w:rPr>
          <w:b/>
        </w:rPr>
      </w:pPr>
      <w:r>
        <w:rPr>
          <w:b/>
        </w:rPr>
        <w:t>BRONX COMMUNITY COLLEGE</w:t>
      </w:r>
    </w:p>
    <w:p w14:paraId="68AF3638" w14:textId="77777777" w:rsidR="00791D88" w:rsidRDefault="00C751FB">
      <w:pPr>
        <w:jc w:val="center"/>
        <w:rPr>
          <w:b/>
        </w:rPr>
      </w:pPr>
      <w:r>
        <w:rPr>
          <w:b/>
        </w:rPr>
        <w:t xml:space="preserve"> of the City University of New York</w:t>
      </w:r>
    </w:p>
    <w:p w14:paraId="24BFE3AD" w14:textId="77777777" w:rsidR="00791D88" w:rsidRDefault="00C751FB">
      <w:pPr>
        <w:jc w:val="center"/>
        <w:rPr>
          <w:b/>
        </w:rPr>
      </w:pPr>
      <w:r>
        <w:rPr>
          <w:b/>
        </w:rPr>
        <w:t>DEPARTMENT OF MATHEMATICS AND COMPUTER SCIENCE</w:t>
      </w:r>
    </w:p>
    <w:p w14:paraId="708E3BD0" w14:textId="77777777" w:rsidR="00791D88" w:rsidRDefault="00791D88">
      <w:pPr>
        <w:jc w:val="center"/>
        <w:rPr>
          <w:b/>
        </w:rPr>
      </w:pPr>
    </w:p>
    <w:p w14:paraId="1B997DD8" w14:textId="77777777" w:rsidR="00791D88" w:rsidRDefault="00C751FB">
      <w:pPr>
        <w:jc w:val="center"/>
        <w:rPr>
          <w:b/>
        </w:rPr>
      </w:pPr>
      <w:r>
        <w:rPr>
          <w:b/>
        </w:rPr>
        <w:t>SYLLABUS</w:t>
      </w:r>
    </w:p>
    <w:p w14:paraId="6A7D94DE" w14:textId="77777777" w:rsidR="00791D88" w:rsidRDefault="00791D88"/>
    <w:p w14:paraId="6EC4FAD6" w14:textId="77777777" w:rsidR="00791D88" w:rsidRDefault="00C751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MTH 28.5 – College Algebra and Elementary Trigonometry (Corequisite) (3 credits/ 6 hours)</w:t>
      </w:r>
    </w:p>
    <w:p w14:paraId="15D7DD0E" w14:textId="77777777" w:rsidR="00791D88" w:rsidRDefault="00791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</w:rPr>
      </w:pPr>
    </w:p>
    <w:p w14:paraId="15481890" w14:textId="77777777" w:rsidR="00791D88" w:rsidRDefault="00C751FB">
      <w:r>
        <w:rPr>
          <w:b/>
        </w:rPr>
        <w:t>Prerequisite:</w:t>
      </w:r>
      <w:r>
        <w:tab/>
        <w:t>None. Students with Math Proficiency Index less than 40 are strongly encouraged to enroll in Math Start or CUNY Start, before taking college-level mathematics courses.</w:t>
      </w:r>
    </w:p>
    <w:p w14:paraId="09E301D1" w14:textId="77777777" w:rsidR="00791D88" w:rsidRDefault="00791D88"/>
    <w:p w14:paraId="64C95690" w14:textId="77777777" w:rsidR="00791D88" w:rsidRDefault="00C751FB">
      <w:r>
        <w:rPr>
          <w:b/>
        </w:rPr>
        <w:t>Textbooks:</w:t>
      </w:r>
      <w:r>
        <w:t xml:space="preserve"> </w:t>
      </w:r>
      <w:r>
        <w:tab/>
        <w:t xml:space="preserve">1. Intermediate Algebra 2e, by Lynn </w:t>
      </w:r>
      <w:proofErr w:type="spellStart"/>
      <w:r>
        <w:t>Marecek</w:t>
      </w:r>
      <w:proofErr w:type="spellEnd"/>
      <w:r>
        <w:t xml:space="preserve"> and Andrea Honeycutt Mathis, OpenStax</w:t>
      </w:r>
    </w:p>
    <w:p w14:paraId="1B0AAF87" w14:textId="77777777" w:rsidR="00791D88" w:rsidRDefault="00C751FB">
      <w:pPr>
        <w:rPr>
          <w:color w:val="0000FF"/>
          <w:u w:val="single"/>
        </w:rPr>
      </w:pPr>
      <w:r>
        <w:tab/>
      </w:r>
      <w:r>
        <w:tab/>
      </w:r>
      <w:hyperlink r:id="rId8">
        <w:r>
          <w:rPr>
            <w:color w:val="0000FF"/>
            <w:u w:val="single"/>
          </w:rPr>
          <w:t>https://openstax.org/details/books/intermediate-algebra-2e</w:t>
        </w:r>
      </w:hyperlink>
    </w:p>
    <w:p w14:paraId="03FC8006" w14:textId="77777777" w:rsidR="00791D88" w:rsidRDefault="00791D88"/>
    <w:p w14:paraId="08C81F94" w14:textId="77777777" w:rsidR="00791D88" w:rsidRDefault="00C751FB">
      <w:pPr>
        <w:ind w:left="720" w:firstLine="720"/>
      </w:pPr>
      <w:r>
        <w:t xml:space="preserve">2. Precalculus by Jay Abramson, OpenStax </w:t>
      </w:r>
    </w:p>
    <w:p w14:paraId="0070297E" w14:textId="77777777" w:rsidR="00791D88" w:rsidRDefault="00000000">
      <w:pPr>
        <w:ind w:left="720" w:firstLine="720"/>
        <w:rPr>
          <w:color w:val="0000FF"/>
          <w:u w:val="single"/>
        </w:rPr>
      </w:pPr>
      <w:hyperlink r:id="rId9">
        <w:r w:rsidR="00C751FB">
          <w:rPr>
            <w:color w:val="0000FF"/>
            <w:u w:val="single"/>
          </w:rPr>
          <w:t>https://openstax.org/details/books/precalculus</w:t>
        </w:r>
      </w:hyperlink>
    </w:p>
    <w:p w14:paraId="69F46724" w14:textId="77777777" w:rsidR="00791D88" w:rsidRDefault="00791D88"/>
    <w:p w14:paraId="4A533E36" w14:textId="4D7F84A1" w:rsidR="002D39AD" w:rsidRDefault="00C751FB">
      <w:pPr>
        <w:rPr>
          <w:color w:val="000000"/>
          <w:highlight w:val="white"/>
        </w:rPr>
      </w:pPr>
      <w:r>
        <w:rPr>
          <w:b/>
          <w:color w:val="000000"/>
        </w:rPr>
        <w:t xml:space="preserve">Course Description: </w:t>
      </w:r>
      <w:r>
        <w:rPr>
          <w:color w:val="000000"/>
          <w:highlight w:val="white"/>
        </w:rPr>
        <w:t xml:space="preserve">Fundamentals of elementary, intermediate and college algebra essential for the study of pre-calculus and calculus.  Topics include linear equations, polynomials, factoring, roots and radicals, rational expressions, quadratic equations, the function concept, and the trigonometric ratios. </w:t>
      </w:r>
      <w:r w:rsidR="00F922DF">
        <w:rPr>
          <w:color w:val="000000"/>
          <w:highlight w:val="white"/>
        </w:rPr>
        <w:br/>
      </w:r>
      <w:r>
        <w:rPr>
          <w:color w:val="000000"/>
          <w:highlight w:val="white"/>
        </w:rPr>
        <w:t>This course is equivalent to MTH 28 in academic content and for the purposes of transfer and grade replacement.</w:t>
      </w:r>
    </w:p>
    <w:p w14:paraId="22A65A79" w14:textId="5F1ECE3C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This course is a </w:t>
      </w:r>
      <w:r>
        <w:rPr>
          <w:b/>
          <w:color w:val="000000"/>
        </w:rPr>
        <w:t>Pathways Core B (Mathematical and Quantitative Reasoning) Course</w:t>
      </w:r>
      <w:r>
        <w:rPr>
          <w:color w:val="000000"/>
        </w:rPr>
        <w:t>:</w:t>
      </w:r>
      <w:r>
        <w:rPr>
          <w:color w:val="000000"/>
        </w:rPr>
        <w:br/>
        <w:t xml:space="preserve">This course meets the following learning outcomes. A student will: </w:t>
      </w:r>
    </w:p>
    <w:p w14:paraId="3BDAC923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E9875B" w14:textId="77777777" w:rsidR="00791D88" w:rsidRDefault="00C75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Interpret and draw appropriate inferences from quantitative representations, such as formulas, graphs, or tables. </w:t>
      </w:r>
    </w:p>
    <w:p w14:paraId="33FA9F20" w14:textId="77777777" w:rsidR="00791D88" w:rsidRDefault="00C75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Use algebraic, numerical, graphical, or statistical methods to draw accurate conclusions and solve mathematical problems. </w:t>
      </w:r>
    </w:p>
    <w:p w14:paraId="30B76C23" w14:textId="77777777" w:rsidR="00791D88" w:rsidRDefault="00C75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Represent quantitative problems expressed in natural language in a suitable mathematical format. </w:t>
      </w:r>
    </w:p>
    <w:p w14:paraId="07BC4892" w14:textId="77777777" w:rsidR="00791D88" w:rsidRDefault="00C75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Effectively communicate quantitative analysis or solutions to mathematical problems in written or oral form. </w:t>
      </w:r>
    </w:p>
    <w:p w14:paraId="5D38B1F3" w14:textId="77777777" w:rsidR="00791D88" w:rsidRDefault="00C75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Evaluate solutions to problems for reasonableness using a variety of means, including informed estimation. </w:t>
      </w:r>
    </w:p>
    <w:p w14:paraId="630F97DC" w14:textId="77777777" w:rsidR="00791D88" w:rsidRDefault="00C75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Apply mathematical methods to problems in other fields of study. </w:t>
      </w:r>
    </w:p>
    <w:p w14:paraId="6841B1EE" w14:textId="5363086C" w:rsidR="00791D88" w:rsidRDefault="00791D8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94706BB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B68B370" w14:textId="54D9F233" w:rsidR="00791D88" w:rsidRDefault="00C751FB">
      <w:pPr>
        <w:rPr>
          <w:color w:val="000000"/>
        </w:rPr>
      </w:pPr>
      <w:r>
        <w:rPr>
          <w:b/>
          <w:color w:val="000000"/>
        </w:rPr>
        <w:t>Student Learning Outcomes:</w:t>
      </w:r>
      <w:r>
        <w:rPr>
          <w:color w:val="000000"/>
        </w:rPr>
        <w:t xml:space="preserve"> Upon completion of this course, students will be able to:</w:t>
      </w:r>
    </w:p>
    <w:p w14:paraId="482D6631" w14:textId="77777777" w:rsidR="002D39AD" w:rsidRDefault="002D39AD">
      <w:pPr>
        <w:rPr>
          <w:color w:val="000000"/>
        </w:rPr>
      </w:pPr>
    </w:p>
    <w:p w14:paraId="1AB89167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Perform operations of integer, fractions, polynomials, rational expressions, radical expressions, expressions with rational exponents, and complex numbers (a, b, d)</w:t>
      </w:r>
    </w:p>
    <w:p w14:paraId="35AEDB5C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linear equations and inequalities, rational equations, radical equations, and factorable polynomial equations (b, d, e)</w:t>
      </w:r>
    </w:p>
    <w:p w14:paraId="10222214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quadratic equations by factoring, by completing the square, and by the quadratic formula (b, d, e)</w:t>
      </w:r>
    </w:p>
    <w:p w14:paraId="088221F3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Demonstrate fluency with function notation. (a, c, d)</w:t>
      </w:r>
    </w:p>
    <w:p w14:paraId="035D221A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Translate word problems involving modeling with functions and quadratic equations (c, d, f)</w:t>
      </w:r>
    </w:p>
    <w:p w14:paraId="26F1E31D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right triangle trigonometry problems (a, b, d, e)</w:t>
      </w:r>
    </w:p>
    <w:p w14:paraId="002F3D3F" w14:textId="4C8AD4F2" w:rsidR="00791D88" w:rsidRPr="002D39AD" w:rsidRDefault="00C751FB" w:rsidP="002D3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Form models to apply them in the solution of real-world problems involving trigonometry (a, c, d, f)</w:t>
      </w:r>
    </w:p>
    <w:p w14:paraId="2F4D3F6D" w14:textId="77777777" w:rsidR="00791D88" w:rsidRDefault="00C751FB">
      <w:pPr>
        <w:tabs>
          <w:tab w:val="left" w:pos="5580"/>
        </w:tabs>
        <w:rPr>
          <w:b/>
        </w:rPr>
      </w:pPr>
      <w:r>
        <w:rPr>
          <w:b/>
        </w:rPr>
        <w:lastRenderedPageBreak/>
        <w:t xml:space="preserve">Grading Guidelines: </w:t>
      </w:r>
    </w:p>
    <w:p w14:paraId="41871283" w14:textId="77777777" w:rsidR="00791D88" w:rsidRDefault="00C751FB">
      <w:pPr>
        <w:ind w:left="720"/>
      </w:pPr>
      <w:r>
        <w:t xml:space="preserve">Homework: </w:t>
      </w:r>
      <w:r>
        <w:tab/>
      </w:r>
      <w:r>
        <w:tab/>
        <w:t>15%</w:t>
      </w:r>
    </w:p>
    <w:p w14:paraId="75DE129D" w14:textId="77777777" w:rsidR="00791D88" w:rsidRDefault="00C751FB">
      <w:pPr>
        <w:ind w:left="720"/>
      </w:pPr>
      <w:r>
        <w:t xml:space="preserve">Class participation: </w:t>
      </w:r>
      <w:r>
        <w:tab/>
        <w:t>10%</w:t>
      </w:r>
    </w:p>
    <w:p w14:paraId="637D07DF" w14:textId="77777777" w:rsidR="00791D88" w:rsidRDefault="00C751FB">
      <w:pPr>
        <w:ind w:left="720"/>
      </w:pPr>
      <w:r>
        <w:t xml:space="preserve">Quizzes or tests: </w:t>
      </w:r>
      <w:r>
        <w:tab/>
        <w:t>20%</w:t>
      </w:r>
    </w:p>
    <w:p w14:paraId="4EA3D326" w14:textId="77777777" w:rsidR="00791D88" w:rsidRDefault="00C751FB">
      <w:pPr>
        <w:ind w:left="720"/>
      </w:pPr>
      <w:r>
        <w:t xml:space="preserve">Midterm: </w:t>
      </w:r>
      <w:r>
        <w:tab/>
      </w:r>
      <w:r>
        <w:tab/>
        <w:t>25%</w:t>
      </w:r>
    </w:p>
    <w:p w14:paraId="7DE82A2C" w14:textId="77777777" w:rsidR="00791D88" w:rsidRDefault="00C751FB">
      <w:pPr>
        <w:ind w:left="720"/>
      </w:pPr>
      <w:r>
        <w:t xml:space="preserve">Final Exam: </w:t>
      </w:r>
      <w:r>
        <w:tab/>
      </w:r>
      <w:r>
        <w:tab/>
        <w:t>30%</w:t>
      </w:r>
    </w:p>
    <w:p w14:paraId="4EA6E43A" w14:textId="77777777" w:rsidR="00791D88" w:rsidRDefault="00C751FB">
      <w:pPr>
        <w:tabs>
          <w:tab w:val="left" w:pos="5580"/>
        </w:tabs>
      </w:pPr>
      <w:r>
        <w:t xml:space="preserve">Additional details will be provided by your instructor. </w:t>
      </w:r>
    </w:p>
    <w:p w14:paraId="389999C8" w14:textId="77777777" w:rsidR="00791D88" w:rsidRDefault="00791D88">
      <w:pPr>
        <w:tabs>
          <w:tab w:val="left" w:pos="5580"/>
        </w:tabs>
      </w:pPr>
    </w:p>
    <w:p w14:paraId="77AD6399" w14:textId="77777777" w:rsidR="00791D88" w:rsidRDefault="00791D88">
      <w:pPr>
        <w:tabs>
          <w:tab w:val="left" w:pos="5580"/>
        </w:tabs>
      </w:pPr>
    </w:p>
    <w:p w14:paraId="51D2CB88" w14:textId="77777777" w:rsidR="00791D88" w:rsidRDefault="00C751FB">
      <w:pPr>
        <w:tabs>
          <w:tab w:val="left" w:pos="540"/>
        </w:tabs>
        <w:jc w:val="both"/>
        <w:rPr>
          <w:color w:val="000000"/>
        </w:rPr>
      </w:pPr>
      <w:r>
        <w:rPr>
          <w:b/>
        </w:rPr>
        <w:t xml:space="preserve">Academic Integrity: </w:t>
      </w:r>
      <w:r>
        <w:t xml:space="preserve">Academic dishonesty (such as plagiarism and cheating) is prohibited at Bronx Community College and is punishable by penalties, including failing grades, </w:t>
      </w:r>
      <w:proofErr w:type="gramStart"/>
      <w:r>
        <w:t>dismissal</w:t>
      </w:r>
      <w:proofErr w:type="gramEnd"/>
      <w:r>
        <w:t xml:space="preserve"> and expulsion. For additional information and the full policy on Academic Integrity, please consult the BCC College Catalog.</w:t>
      </w:r>
    </w:p>
    <w:p w14:paraId="1ED7106D" w14:textId="0518285A" w:rsidR="00791D88" w:rsidRDefault="00791D88">
      <w:pPr>
        <w:tabs>
          <w:tab w:val="left" w:pos="540"/>
        </w:tabs>
        <w:jc w:val="both"/>
      </w:pPr>
    </w:p>
    <w:p w14:paraId="0AD0AF68" w14:textId="77777777" w:rsidR="002D39AD" w:rsidRDefault="002D39AD">
      <w:pPr>
        <w:tabs>
          <w:tab w:val="left" w:pos="540"/>
        </w:tabs>
        <w:jc w:val="both"/>
      </w:pPr>
    </w:p>
    <w:p w14:paraId="3B9DEE47" w14:textId="77777777" w:rsidR="00791D88" w:rsidRDefault="00C751FB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Accommodations/Disabilities: </w:t>
      </w:r>
      <w: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>
        <w:t>disAbility</w:t>
      </w:r>
      <w:proofErr w:type="spellEnd"/>
      <w:r>
        <w:t xml:space="preserve"> Services Office as soon as possible this semester.  The </w:t>
      </w:r>
      <w:proofErr w:type="spellStart"/>
      <w:r>
        <w:t>disAbility</w:t>
      </w:r>
      <w:proofErr w:type="spellEnd"/>
      <w: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>
        <w:t>disAbility</w:t>
      </w:r>
      <w:proofErr w:type="spellEnd"/>
      <w:r>
        <w:t xml:space="preserve"> Services Office at: </w:t>
      </w:r>
      <w:hyperlink r:id="rId10">
        <w:r>
          <w:rPr>
            <w:color w:val="0000FF"/>
            <w:u w:val="single"/>
          </w:rPr>
          <w:t>disability.services@bcc.cuny.edu</w:t>
        </w:r>
      </w:hyperlink>
      <w:r>
        <w:rPr>
          <w:color w:val="212121"/>
        </w:rPr>
        <w:t>, Loew Hall, Room 211, (718) 289-5874.</w:t>
      </w:r>
    </w:p>
    <w:p w14:paraId="34CAFAFA" w14:textId="77777777" w:rsidR="00791D88" w:rsidRDefault="00791D88">
      <w:pPr>
        <w:rPr>
          <w:color w:val="000000"/>
          <w:highlight w:val="white"/>
        </w:rPr>
      </w:pPr>
    </w:p>
    <w:p w14:paraId="6A0B12D9" w14:textId="77777777" w:rsidR="00791D88" w:rsidRDefault="00791D88"/>
    <w:p w14:paraId="45DEFA5B" w14:textId="77777777" w:rsidR="00791D88" w:rsidRDefault="00791D88"/>
    <w:p w14:paraId="163741A3" w14:textId="77777777" w:rsidR="00791D88" w:rsidRDefault="00791D88"/>
    <w:p w14:paraId="60DDD61E" w14:textId="77777777" w:rsidR="00791D88" w:rsidRDefault="00791D88"/>
    <w:p w14:paraId="396C16D0" w14:textId="77777777" w:rsidR="00791D88" w:rsidRDefault="00791D88"/>
    <w:p w14:paraId="02B40235" w14:textId="77777777" w:rsidR="00791D88" w:rsidRDefault="00791D88"/>
    <w:p w14:paraId="4EC55A29" w14:textId="77777777" w:rsidR="00791D88" w:rsidRDefault="00791D88"/>
    <w:p w14:paraId="0420A580" w14:textId="77777777" w:rsidR="00791D88" w:rsidRDefault="00791D88"/>
    <w:p w14:paraId="7379D85E" w14:textId="77777777" w:rsidR="00791D88" w:rsidRDefault="00791D88"/>
    <w:p w14:paraId="246E892F" w14:textId="77777777" w:rsidR="00791D88" w:rsidRDefault="00791D88"/>
    <w:p w14:paraId="3F918D71" w14:textId="77777777" w:rsidR="00791D88" w:rsidRDefault="00791D88"/>
    <w:p w14:paraId="4DEBF8D3" w14:textId="77777777" w:rsidR="00791D88" w:rsidRDefault="00791D88"/>
    <w:p w14:paraId="70B58925" w14:textId="77777777" w:rsidR="00791D88" w:rsidRDefault="00791D88"/>
    <w:p w14:paraId="7F5B501E" w14:textId="77777777" w:rsidR="00791D88" w:rsidRDefault="00791D88"/>
    <w:p w14:paraId="6D1D7C84" w14:textId="77777777" w:rsidR="00791D88" w:rsidRDefault="00791D88"/>
    <w:p w14:paraId="1F3ECA44" w14:textId="77777777" w:rsidR="00791D88" w:rsidRDefault="00791D88"/>
    <w:p w14:paraId="46E26559" w14:textId="77777777" w:rsidR="00791D88" w:rsidRDefault="00791D88"/>
    <w:p w14:paraId="7656EE95" w14:textId="77777777" w:rsidR="00791D88" w:rsidRDefault="00791D88"/>
    <w:p w14:paraId="000BAF83" w14:textId="77777777" w:rsidR="00791D88" w:rsidRDefault="00791D88"/>
    <w:p w14:paraId="5B58DEEC" w14:textId="77777777" w:rsidR="00791D88" w:rsidRDefault="00791D88"/>
    <w:p w14:paraId="7B6CF5A0" w14:textId="22D20774" w:rsidR="00791D88" w:rsidRDefault="00791D88"/>
    <w:p w14:paraId="6E74AA0E" w14:textId="0CACCEC7" w:rsidR="002D39AD" w:rsidRDefault="002D39AD"/>
    <w:p w14:paraId="5C856D27" w14:textId="77777777" w:rsidR="002D39AD" w:rsidRDefault="002D39AD"/>
    <w:p w14:paraId="1E17E633" w14:textId="77777777" w:rsidR="00791D88" w:rsidRDefault="00791D88"/>
    <w:p w14:paraId="15E6FBBC" w14:textId="77777777" w:rsidR="00791D88" w:rsidRDefault="00791D88"/>
    <w:p w14:paraId="59542088" w14:textId="300FEDE1" w:rsidR="00791D88" w:rsidRDefault="00791D88">
      <w:pPr>
        <w:ind w:firstLine="720"/>
        <w:rPr>
          <w:color w:val="0000FF"/>
          <w:u w:val="single"/>
        </w:rPr>
      </w:pPr>
    </w:p>
    <w:p w14:paraId="6E259EF6" w14:textId="3450357C" w:rsidR="00F922DF" w:rsidRDefault="00F922DF">
      <w:pPr>
        <w:ind w:firstLine="720"/>
        <w:rPr>
          <w:color w:val="0000FF"/>
          <w:u w:val="single"/>
        </w:rPr>
      </w:pPr>
    </w:p>
    <w:p w14:paraId="0420A21A" w14:textId="72F780EE" w:rsidR="00F922DF" w:rsidRDefault="00F922DF">
      <w:pPr>
        <w:ind w:firstLine="720"/>
        <w:rPr>
          <w:color w:val="0000FF"/>
          <w:u w:val="single"/>
        </w:rPr>
      </w:pPr>
    </w:p>
    <w:p w14:paraId="18105000" w14:textId="77777777" w:rsidR="00F922DF" w:rsidRDefault="00F922DF" w:rsidP="00FC4988">
      <w:pPr>
        <w:rPr>
          <w:color w:val="0000FF"/>
          <w:u w:val="single"/>
        </w:rPr>
      </w:pPr>
    </w:p>
    <w:tbl>
      <w:tblPr>
        <w:tblStyle w:val="a"/>
        <w:tblW w:w="1025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5400"/>
        <w:gridCol w:w="4163"/>
      </w:tblGrid>
      <w:tr w:rsidR="00791D88" w14:paraId="4E8D6ACD" w14:textId="77777777">
        <w:trPr>
          <w:trHeight w:val="3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0D4F4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65C6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SECTION AND TOPICS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4758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RECOMMENDED EXERCISES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91D88" w14:paraId="1B8FB67D" w14:textId="77777777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71224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Intermediate Algebra 2e text</w:t>
            </w:r>
          </w:p>
        </w:tc>
      </w:tr>
      <w:tr w:rsidR="00791D88" w14:paraId="0FC1A979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0DB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27BA0B4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FAE6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1.2 Integers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E1CEA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39/63-66, 71-110, 119-126</w:t>
            </w:r>
          </w:p>
        </w:tc>
      </w:tr>
      <w:tr w:rsidR="00791D88" w14:paraId="2DD63AC7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4167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CD9F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1.3 Fractions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D2D8D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54/143-166, 173-182, 209-224,229-234</w:t>
            </w:r>
          </w:p>
        </w:tc>
      </w:tr>
      <w:tr w:rsidR="00791D88" w14:paraId="408F2D3F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A961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803B3D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75BD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2.1 Use a General Strategy to Solve Linear Equations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2BBA1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113/5-26</w:t>
            </w:r>
          </w:p>
        </w:tc>
      </w:tr>
      <w:tr w:rsidR="00791D88" w14:paraId="2C5DA10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98EF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2FAD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2.3 Solve a Formula for a Specific Variable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EDBA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147/165-194</w:t>
            </w:r>
          </w:p>
        </w:tc>
      </w:tr>
      <w:tr w:rsidR="00791D88" w14:paraId="6F05BCBC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AA6B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17DA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2.5 Solve Linear Inequalities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F0F2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186/296-317</w:t>
            </w:r>
          </w:p>
        </w:tc>
      </w:tr>
      <w:tr w:rsidR="00791D88" w14:paraId="49DC3D9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66983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EAAB21D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CF1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3.1 Graph Linear Equations in Two Variables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95771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252/9-28, 33-68</w:t>
            </w:r>
          </w:p>
        </w:tc>
      </w:tr>
      <w:tr w:rsidR="00791D88" w14:paraId="6B55AEB7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41597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D07C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3.5 Relations and Functions (Only the function notation)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8FAFB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328/307-332</w:t>
            </w:r>
          </w:p>
        </w:tc>
      </w:tr>
      <w:tr w:rsidR="00791D88" w14:paraId="0A7E53DF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C8024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D6CC104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58B6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5.1 Add and Subtract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287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503/1-28, 33-46, 53-68</w:t>
            </w:r>
          </w:p>
        </w:tc>
      </w:tr>
      <w:tr w:rsidR="00791D88" w14:paraId="3035C3C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447E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6A57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5.2 Properties of Exponents and Scientific Notation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A5DDA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528/81-126, 131-155, 162-173</w:t>
            </w:r>
          </w:p>
        </w:tc>
      </w:tr>
      <w:tr w:rsidR="00791D88" w14:paraId="0EC3B108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4C79F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AE1D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5.3 Multiply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624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545/178-271</w:t>
            </w:r>
          </w:p>
        </w:tc>
      </w:tr>
      <w:tr w:rsidR="00791D88" w14:paraId="1170BF6B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B28F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E0F7A41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1C00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5.4 Dividing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040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560/288-315</w:t>
            </w:r>
          </w:p>
        </w:tc>
      </w:tr>
      <w:tr w:rsidR="00791D88" w14:paraId="2971FF2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C2ABD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0575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6.1 Greatest Common Factor and Factor by Grouping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13BE2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582/9-50</w:t>
            </w:r>
          </w:p>
        </w:tc>
      </w:tr>
      <w:tr w:rsidR="00791D88" w14:paraId="7049E304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6957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0102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6.2 Factor Trinomials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697F6A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600/61-130, 135-152</w:t>
            </w:r>
          </w:p>
        </w:tc>
      </w:tr>
      <w:tr w:rsidR="00791D88" w14:paraId="58223504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9704AA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59AE379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5A2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6.3 Factor Special Products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0185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615/159-190, 213-220</w:t>
            </w:r>
          </w:p>
        </w:tc>
      </w:tr>
      <w:tr w:rsidR="00791D88" w14:paraId="73820B6C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8C6E0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252D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6.4 General Strategy for Factoring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C10FA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625/233-246, 249-256</w:t>
            </w:r>
          </w:p>
        </w:tc>
      </w:tr>
      <w:tr w:rsidR="00791D88" w14:paraId="47BD32F3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D3062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60D1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6.5 Polynomial Equations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A053D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641/277-326</w:t>
            </w:r>
          </w:p>
        </w:tc>
      </w:tr>
      <w:tr w:rsidR="00791D88" w14:paraId="43E27C87" w14:textId="77777777">
        <w:trPr>
          <w:trHeight w:val="2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77EF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CFDD5A2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9581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Midterm Review and Exam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B5DCC1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91D88" w14:paraId="73F18B9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02B85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7227D68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1F4C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7.1 Multiply and Divide Rational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ECC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666/1-24, 29-44, 49, 50</w:t>
            </w:r>
          </w:p>
        </w:tc>
      </w:tr>
      <w:tr w:rsidR="00791D88" w14:paraId="7EC799D8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57AF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A743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7.2 Add and Subtract Rational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DA890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682/75-142</w:t>
            </w:r>
          </w:p>
        </w:tc>
      </w:tr>
      <w:tr w:rsidR="00791D88" w14:paraId="19219633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5FE9C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5E58C59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61ED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7.3 Simplify Complex Rational Expressions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19857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695/151-194</w:t>
            </w:r>
          </w:p>
        </w:tc>
      </w:tr>
      <w:tr w:rsidR="00791D88" w14:paraId="7898DF00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BDAF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B6D7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7.4 Solve Rational Equations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49D7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709/197-230</w:t>
            </w:r>
          </w:p>
        </w:tc>
      </w:tr>
      <w:tr w:rsidR="00791D88" w14:paraId="4B25C1E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FF2DF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8050FD5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286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8.1 Simplify Expressions with Roots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4094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771/1-15, 19-22</w:t>
            </w:r>
          </w:p>
        </w:tc>
      </w:tr>
      <w:tr w:rsidR="00791D88" w14:paraId="4F78BC20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CF9EA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C398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8.2 Simplify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8FB9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789/55-65</w:t>
            </w:r>
          </w:p>
        </w:tc>
      </w:tr>
      <w:tr w:rsidR="00791D88" w14:paraId="2F38BBFF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60398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4D49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8.3 Simplify Rational Exponents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D17D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805/119-162</w:t>
            </w:r>
          </w:p>
        </w:tc>
      </w:tr>
      <w:tr w:rsidR="00791D88" w14:paraId="7FEACCF6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0E94C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2E34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 Add, Subtract, and Multiply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5C60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818/165-168, 183-186, 191-214(only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791D88" w14:paraId="6C5D6616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5F213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5DE4B4B8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5CD6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8.5 Divide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D520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832/245, 246, 259-262, 271-282</w:t>
            </w:r>
          </w:p>
        </w:tc>
      </w:tr>
      <w:tr w:rsidR="00791D88" w14:paraId="35BC92B1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23E18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512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8.6 Solve Radical Equations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8D2B2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846/287-304, 315-326</w:t>
            </w:r>
          </w:p>
        </w:tc>
      </w:tr>
      <w:tr w:rsidR="00791D88" w14:paraId="38E26215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453E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FF2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8.8 Use the Complex Number System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39D9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868/409-476</w:t>
            </w:r>
          </w:p>
        </w:tc>
      </w:tr>
      <w:tr w:rsidR="00791D88" w14:paraId="400E227B" w14:textId="77777777">
        <w:trPr>
          <w:trHeight w:val="288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99592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94BE8FE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621C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9.1 Solve Quadratic Equations Using the Square Root Property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AB06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893/1-30</w:t>
            </w:r>
          </w:p>
        </w:tc>
      </w:tr>
      <w:tr w:rsidR="00791D88" w14:paraId="3F3DBB47" w14:textId="77777777">
        <w:trPr>
          <w:trHeight w:val="2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D91F6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57C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9.2 Solve Quadratic Equations by Completing the Square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6AC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909/75-101</w:t>
            </w:r>
          </w:p>
        </w:tc>
      </w:tr>
      <w:tr w:rsidR="00791D88" w14:paraId="7753D74C" w14:textId="77777777">
        <w:trPr>
          <w:trHeight w:val="2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66570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E60F1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 Solve Quadratic Equations Using the Quadratic Formula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C9BC9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923/113-136</w:t>
            </w:r>
          </w:p>
        </w:tc>
      </w:tr>
      <w:tr w:rsidR="00791D88" w14:paraId="0E18680B" w14:textId="77777777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76988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Precalculus text</w:t>
            </w:r>
          </w:p>
        </w:tc>
      </w:tr>
      <w:tr w:rsidR="00791D88" w14:paraId="23F8819A" w14:textId="77777777">
        <w:trPr>
          <w:trHeight w:val="4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151C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CA2A5F8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E9E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Right Triangle Trigonometry (Only in degree measure)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BB98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495/10-41, 52-56</w:t>
            </w:r>
          </w:p>
        </w:tc>
      </w:tr>
      <w:tr w:rsidR="00791D88" w14:paraId="6342BA50" w14:textId="77777777">
        <w:trPr>
          <w:trHeight w:val="4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AE77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C81C394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8CF05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ACCE1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C75D89B" w14:textId="77777777" w:rsidR="00791D88" w:rsidRDefault="00791D88">
      <w:pPr>
        <w:rPr>
          <w:sz w:val="20"/>
          <w:szCs w:val="20"/>
        </w:rPr>
      </w:pPr>
    </w:p>
    <w:p w14:paraId="40037F69" w14:textId="29357469" w:rsidR="00791D88" w:rsidRDefault="00791D88">
      <w:pPr>
        <w:rPr>
          <w:sz w:val="20"/>
          <w:szCs w:val="20"/>
        </w:rPr>
      </w:pPr>
    </w:p>
    <w:p w14:paraId="02BF998B" w14:textId="77777777" w:rsidR="00FC4988" w:rsidRDefault="00FC4988">
      <w:pPr>
        <w:rPr>
          <w:sz w:val="20"/>
          <w:szCs w:val="20"/>
        </w:rPr>
      </w:pPr>
    </w:p>
    <w:p w14:paraId="613BB576" w14:textId="1A7649FA" w:rsidR="00791D88" w:rsidRDefault="00791D88">
      <w:pPr>
        <w:rPr>
          <w:sz w:val="20"/>
          <w:szCs w:val="20"/>
        </w:rPr>
      </w:pPr>
    </w:p>
    <w:p w14:paraId="4700CBD8" w14:textId="0498F703" w:rsidR="00B51451" w:rsidRDefault="00B51451">
      <w:pPr>
        <w:rPr>
          <w:sz w:val="20"/>
          <w:szCs w:val="20"/>
        </w:rPr>
      </w:pPr>
    </w:p>
    <w:p w14:paraId="7B48E3E3" w14:textId="77777777" w:rsidR="00B51451" w:rsidRDefault="00B51451">
      <w:pPr>
        <w:rPr>
          <w:sz w:val="20"/>
          <w:szCs w:val="20"/>
        </w:rPr>
      </w:pPr>
    </w:p>
    <w:p w14:paraId="4AAD534C" w14:textId="77777777" w:rsidR="00791D88" w:rsidRDefault="00C751FB">
      <w:pPr>
        <w:rPr>
          <w:sz w:val="20"/>
          <w:szCs w:val="20"/>
        </w:rPr>
      </w:pPr>
      <w:r>
        <w:rPr>
          <w:sz w:val="20"/>
          <w:szCs w:val="20"/>
        </w:rPr>
        <w:t>YH/IP/AW 01/27/22</w:t>
      </w:r>
    </w:p>
    <w:sectPr w:rsidR="00791D8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2724" w14:textId="77777777" w:rsidR="00CA61BA" w:rsidRDefault="00CA61BA">
      <w:r>
        <w:separator/>
      </w:r>
    </w:p>
  </w:endnote>
  <w:endnote w:type="continuationSeparator" w:id="0">
    <w:p w14:paraId="363B5DB1" w14:textId="77777777" w:rsidR="00CA61BA" w:rsidRDefault="00CA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98C6" w14:textId="77777777" w:rsidR="00CA61BA" w:rsidRDefault="00CA61BA">
      <w:r>
        <w:separator/>
      </w:r>
    </w:p>
  </w:footnote>
  <w:footnote w:type="continuationSeparator" w:id="0">
    <w:p w14:paraId="694C63D7" w14:textId="77777777" w:rsidR="00CA61BA" w:rsidRDefault="00CA61BA">
      <w:r>
        <w:continuationSeparator/>
      </w:r>
    </w:p>
  </w:footnote>
  <w:footnote w:id="1">
    <w:p w14:paraId="0C7A2331" w14:textId="77777777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1C9"/>
    <w:multiLevelType w:val="multilevel"/>
    <w:tmpl w:val="5F6E7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E47489"/>
    <w:multiLevelType w:val="multilevel"/>
    <w:tmpl w:val="E0E41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D3D97"/>
    <w:multiLevelType w:val="multilevel"/>
    <w:tmpl w:val="F8F0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5683">
    <w:abstractNumId w:val="1"/>
  </w:num>
  <w:num w:numId="2" w16cid:durableId="919631347">
    <w:abstractNumId w:val="2"/>
  </w:num>
  <w:num w:numId="3" w16cid:durableId="193300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88"/>
    <w:rsid w:val="002D39AD"/>
    <w:rsid w:val="003C3D2D"/>
    <w:rsid w:val="00462487"/>
    <w:rsid w:val="00791D88"/>
    <w:rsid w:val="00B51451"/>
    <w:rsid w:val="00C751FB"/>
    <w:rsid w:val="00CA61BA"/>
    <w:rsid w:val="00CC4507"/>
    <w:rsid w:val="00F922DF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903E1"/>
  <w15:docId w15:val="{94F91835-9ABA-DC47-9DC0-72A8A49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/>
      <w:outlineLvl w:val="1"/>
    </w:pPr>
    <w:rPr>
      <w:b/>
      <w:bCs/>
      <w:sz w:val="20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C1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7B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B2F"/>
  </w:style>
  <w:style w:type="character" w:styleId="FootnoteReference">
    <w:name w:val="footnote reference"/>
    <w:basedOn w:val="DefaultParagraphFont"/>
    <w:uiPriority w:val="99"/>
    <w:semiHidden/>
    <w:unhideWhenUsed/>
    <w:rsid w:val="002A7B2F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/Raz32REM24H3L4/39zs5CwcA==">AMUW2mWWEMKyX5KMCdOYqdBgohoSaWEMWfsjNXW1w5nLsrb629zPxeZgHJFbZtlIk5hWUCTvhC+xN3zJlIMCdO/mBtvlm2hwKzmZMoytrJ+srbD31hVprlamenJUfQ605graQX1pUGDkhCj2JhePk3lYlTEwyBQi9Q==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Weaver</dc:creator>
  <cp:lastModifiedBy>Evangelia Antonakos</cp:lastModifiedBy>
  <cp:revision>3</cp:revision>
  <cp:lastPrinted>2022-06-09T18:27:00Z</cp:lastPrinted>
  <dcterms:created xsi:type="dcterms:W3CDTF">2023-01-13T18:43:00Z</dcterms:created>
  <dcterms:modified xsi:type="dcterms:W3CDTF">2023-01-13T18:43:00Z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2023-01-13T18:43:46Z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597b95c9-a0a7-4955-894d-ee5e68c7c525</vt:lpwstr>
  </property>
  <property fmtid="{D5CDD505-2E9C-101B-9397-08002B2CF9AE}" pid="8" name="MSIP_Label_fa1855b2-0a05-4494-a903-f3f23f3f98e0_ContentBits">
    <vt:lpwstr>0</vt:lpwstr>
  </property>
</Properties>
</file>